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6" w:rsidRPr="00D61A06" w:rsidRDefault="00D61A06" w:rsidP="00D61A06">
      <w:pPr>
        <w:spacing w:after="0" w:line="252" w:lineRule="atLeast"/>
        <w:rPr>
          <w:rFonts w:ascii="Verdana" w:eastAsia="Times New Roman" w:hAnsi="Verdana" w:cs="Times New Roman"/>
          <w:color w:val="1F262D"/>
          <w:sz w:val="32"/>
          <w:szCs w:val="32"/>
          <w:lang w:eastAsia="ru-RU"/>
        </w:rPr>
      </w:pPr>
      <w:r w:rsidRPr="00D61A06">
        <w:rPr>
          <w:rFonts w:ascii="Verdana" w:eastAsia="Times New Roman" w:hAnsi="Verdana" w:cs="Times New Roman"/>
          <w:color w:val="1F262D"/>
          <w:sz w:val="32"/>
          <w:szCs w:val="32"/>
          <w:lang w:eastAsia="ru-RU"/>
        </w:rPr>
        <w:t xml:space="preserve">Правила подачи апелляции о несогласии </w:t>
      </w:r>
      <w:r>
        <w:rPr>
          <w:rFonts w:ascii="Verdana" w:eastAsia="Times New Roman" w:hAnsi="Verdana" w:cs="Times New Roman"/>
          <w:color w:val="1F262D"/>
          <w:sz w:val="32"/>
          <w:szCs w:val="32"/>
          <w:lang w:eastAsia="ru-RU"/>
        </w:rPr>
        <w:br/>
      </w:r>
      <w:r w:rsidRPr="00D61A06">
        <w:rPr>
          <w:rFonts w:ascii="Verdana" w:eastAsia="Times New Roman" w:hAnsi="Verdana" w:cs="Times New Roman"/>
          <w:color w:val="1F262D"/>
          <w:sz w:val="32"/>
          <w:szCs w:val="32"/>
          <w:lang w:eastAsia="ru-RU"/>
        </w:rPr>
        <w:t>с результатами ЕГЭ</w:t>
      </w:r>
    </w:p>
    <w:p w:rsidR="00D61A06" w:rsidRDefault="00D61A06" w:rsidP="00D61A06">
      <w:pPr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Апелляция о несогласии с результатами ЕГЭ подается в течение 2-х рабочих дней после официального объявления индивидуальных результатов экзамена и ознакомления с ними участника ЕГЭ.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b/>
          <w:bCs/>
          <w:color w:val="1F262D"/>
          <w:sz w:val="24"/>
          <w:szCs w:val="24"/>
          <w:lang w:eastAsia="ru-RU"/>
        </w:rPr>
        <w:t>Действия участника ЕГЭ:</w:t>
      </w:r>
    </w:p>
    <w:p w:rsidR="00D61A06" w:rsidRPr="00D61A06" w:rsidRDefault="00D61A06" w:rsidP="00D61A06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</w:t>
      </w:r>
    </w:p>
    <w:p w:rsidR="00D61A06" w:rsidRPr="00D61A06" w:rsidRDefault="00D61A06" w:rsidP="00D61A06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составить апелляцию </w:t>
      </w:r>
      <w:r w:rsidRPr="00D61A06">
        <w:rPr>
          <w:rFonts w:ascii="Calibri" w:eastAsia="Times New Roman" w:hAnsi="Calibri" w:cs="Times New Roman"/>
          <w:b/>
          <w:bCs/>
          <w:color w:val="1F262D"/>
          <w:sz w:val="24"/>
          <w:szCs w:val="24"/>
          <w:lang w:eastAsia="ru-RU"/>
        </w:rPr>
        <w:t>в 2-х экземплярах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;</w:t>
      </w:r>
    </w:p>
    <w:p w:rsidR="00D61A06" w:rsidRPr="00D61A06" w:rsidRDefault="00D61A06" w:rsidP="00D61A06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</w:t>
      </w:r>
    </w:p>
    <w:p w:rsidR="00D61A06" w:rsidRPr="00D61A06" w:rsidRDefault="00D61A06" w:rsidP="00D61A06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получить информацию о времени и месте рассмотрения апелляции;</w:t>
      </w:r>
    </w:p>
    <w:p w:rsidR="00D61A06" w:rsidRPr="00D61A06" w:rsidRDefault="00D61A06" w:rsidP="00D61A06">
      <w:pPr>
        <w:numPr>
          <w:ilvl w:val="0"/>
          <w:numId w:val="3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прийти на процедуру рассмотрения апелляций в конфликтную комиссию, имея при себе паспорт и пропуск с печатью «Бланки ЕГЭ сданы» (или штампом ППЭ).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куны, усы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нови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тели, по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печи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тели, а так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же ли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ца, осу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щест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вля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ющие пат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ро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наж со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вер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шенно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лет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не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го де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ес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по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соб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но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го ли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ца, ко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торый по сос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то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янию здо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ровья не мо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жет осу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щест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влять свои пра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softHyphen/>
        <w:t>ва) должны иметь при себе также другие документы, подтверждающие их полномочия.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По желанию участника ЕГЭ его апелляция может быть рассмотрена без его присутствия.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sz w:val="24"/>
          <w:szCs w:val="24"/>
          <w:lang w:eastAsia="ru-RU"/>
        </w:rPr>
        <w:t>Конфликтная комиссия </w:t>
      </w: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рассматривает апелляцию о несогласии с выставленными баллами не более 4-х рабочих дней с момента ее подачи участником ЕГЭ.</w:t>
      </w:r>
    </w:p>
    <w:p w:rsidR="00D61A06" w:rsidRPr="00D61A06" w:rsidRDefault="00D61A06" w:rsidP="00D61A06">
      <w:p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b/>
          <w:bCs/>
          <w:color w:val="1F262D"/>
          <w:sz w:val="24"/>
          <w:szCs w:val="24"/>
          <w:lang w:eastAsia="ru-RU"/>
        </w:rPr>
        <w:t>Результаты рассмотрения апелляции</w:t>
      </w:r>
    </w:p>
    <w:p w:rsidR="00D61A06" w:rsidRPr="00D61A06" w:rsidRDefault="00D61A06" w:rsidP="00D61A06">
      <w:pPr>
        <w:pStyle w:val="a3"/>
        <w:numPr>
          <w:ilvl w:val="0"/>
          <w:numId w:val="5"/>
        </w:numPr>
        <w:spacing w:after="0" w:line="300" w:lineRule="auto"/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отклонение апелляции и сохранение выставленных баллов;</w:t>
      </w:r>
    </w:p>
    <w:p w:rsidR="00D61A06" w:rsidRPr="00D61A06" w:rsidRDefault="00D61A06" w:rsidP="00D61A06">
      <w:pPr>
        <w:pStyle w:val="a3"/>
        <w:numPr>
          <w:ilvl w:val="0"/>
          <w:numId w:val="5"/>
        </w:numPr>
        <w:spacing w:after="0" w:line="300" w:lineRule="auto"/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</w:pPr>
      <w:r w:rsidRPr="00D61A06">
        <w:rPr>
          <w:rFonts w:ascii="Calibri" w:eastAsia="Times New Roman" w:hAnsi="Calibri" w:cs="Times New Roman"/>
          <w:color w:val="1F262D"/>
          <w:sz w:val="24"/>
          <w:szCs w:val="24"/>
          <w:lang w:eastAsia="ru-RU"/>
        </w:rPr>
        <w:t>удовлетворение апелляции и выставление других баллов</w:t>
      </w:r>
      <w:r w:rsidRPr="00D61A06">
        <w:rPr>
          <w:rFonts w:ascii="Verdana" w:eastAsia="Times New Roman" w:hAnsi="Verdana" w:cs="Times New Roman"/>
          <w:color w:val="1F262D"/>
          <w:sz w:val="24"/>
          <w:szCs w:val="24"/>
          <w:lang w:eastAsia="ru-RU"/>
        </w:rPr>
        <w:t>.</w:t>
      </w:r>
    </w:p>
    <w:p w:rsidR="00265F6A" w:rsidRDefault="00265F6A">
      <w:pPr>
        <w:rPr>
          <w:sz w:val="24"/>
          <w:szCs w:val="24"/>
        </w:rPr>
      </w:pPr>
    </w:p>
    <w:p w:rsidR="005F53C3" w:rsidRDefault="005F53C3">
      <w:pPr>
        <w:rPr>
          <w:sz w:val="24"/>
          <w:szCs w:val="24"/>
        </w:rPr>
      </w:pPr>
    </w:p>
    <w:p w:rsidR="005F53C3" w:rsidRPr="005F53C3" w:rsidRDefault="005F53C3" w:rsidP="005F53C3">
      <w:pPr>
        <w:pStyle w:val="a4"/>
        <w:shd w:val="clear" w:color="auto" w:fill="FFFFFF"/>
        <w:spacing w:before="0" w:beforeAutospacing="0" w:after="0" w:afterAutospacing="0" w:line="252" w:lineRule="atLeast"/>
        <w:rPr>
          <w:rFonts w:asciiTheme="minorHAnsi" w:hAnsiTheme="minorHAnsi"/>
          <w:color w:val="1F262D"/>
        </w:rPr>
      </w:pPr>
      <w:r w:rsidRPr="005F53C3">
        <w:rPr>
          <w:rFonts w:asciiTheme="minorHAnsi" w:hAnsiTheme="minorHAnsi"/>
          <w:color w:val="1F262D"/>
        </w:rPr>
        <w:t xml:space="preserve">По результатам рассмотрения апелляции количество выставленных баллов может быть изменено как в сторону </w:t>
      </w:r>
      <w:r w:rsidRPr="005F53C3">
        <w:rPr>
          <w:rFonts w:asciiTheme="minorHAnsi" w:hAnsiTheme="minorHAnsi"/>
          <w:b/>
          <w:color w:val="1F262D"/>
        </w:rPr>
        <w:t>увеличения</w:t>
      </w:r>
      <w:r w:rsidRPr="005F53C3">
        <w:rPr>
          <w:rFonts w:asciiTheme="minorHAnsi" w:hAnsiTheme="minorHAnsi"/>
          <w:color w:val="1F262D"/>
        </w:rPr>
        <w:t xml:space="preserve">, так и в сторону </w:t>
      </w:r>
      <w:bookmarkStart w:id="0" w:name="_GoBack"/>
      <w:r w:rsidRPr="005F53C3">
        <w:rPr>
          <w:rFonts w:asciiTheme="minorHAnsi" w:hAnsiTheme="minorHAnsi"/>
          <w:b/>
          <w:color w:val="1F262D"/>
        </w:rPr>
        <w:t>уменьшения</w:t>
      </w:r>
      <w:bookmarkEnd w:id="0"/>
      <w:r w:rsidRPr="005F53C3">
        <w:rPr>
          <w:rFonts w:asciiTheme="minorHAnsi" w:hAnsiTheme="minorHAnsi"/>
          <w:color w:val="1F262D"/>
        </w:rPr>
        <w:t>.</w:t>
      </w:r>
    </w:p>
    <w:p w:rsidR="005F53C3" w:rsidRPr="005F53C3" w:rsidRDefault="005F53C3" w:rsidP="005F53C3">
      <w:pPr>
        <w:pStyle w:val="a4"/>
        <w:shd w:val="clear" w:color="auto" w:fill="FFFFFF"/>
        <w:spacing w:before="0" w:beforeAutospacing="0" w:after="0" w:afterAutospacing="0" w:line="252" w:lineRule="atLeast"/>
        <w:rPr>
          <w:rFonts w:asciiTheme="minorHAnsi" w:hAnsiTheme="minorHAnsi"/>
          <w:color w:val="1F262D"/>
        </w:rPr>
      </w:pPr>
      <w:r w:rsidRPr="005F53C3">
        <w:rPr>
          <w:rFonts w:asciiTheme="minorHAnsi" w:hAnsiTheme="minorHAnsi"/>
          <w:color w:val="1F262D"/>
        </w:rPr>
        <w:t>Экзаменационная работа перепроверяется полностью.</w:t>
      </w:r>
    </w:p>
    <w:p w:rsidR="005F53C3" w:rsidRPr="005F53C3" w:rsidRDefault="005F53C3" w:rsidP="005F53C3">
      <w:pPr>
        <w:pStyle w:val="a4"/>
        <w:shd w:val="clear" w:color="auto" w:fill="FFFFFF"/>
        <w:spacing w:before="0" w:beforeAutospacing="0" w:after="0" w:afterAutospacing="0" w:line="252" w:lineRule="atLeast"/>
        <w:rPr>
          <w:rFonts w:asciiTheme="minorHAnsi" w:hAnsiTheme="minorHAnsi"/>
          <w:color w:val="1F262D"/>
        </w:rPr>
      </w:pPr>
      <w:r w:rsidRPr="005F53C3">
        <w:rPr>
          <w:rFonts w:asciiTheme="minorHAnsi" w:hAnsiTheme="minorHAnsi"/>
          <w:color w:val="1F262D"/>
        </w:rPr>
        <w:t>Черновики, использованные на экзамене, в качестве материалов апелляции не рассматриваются.</w:t>
      </w:r>
    </w:p>
    <w:p w:rsidR="005F53C3" w:rsidRPr="005F53C3" w:rsidRDefault="005F53C3" w:rsidP="005F53C3">
      <w:pPr>
        <w:pStyle w:val="a4"/>
        <w:shd w:val="clear" w:color="auto" w:fill="FFFFFF"/>
        <w:spacing w:before="0" w:beforeAutospacing="0" w:after="0" w:afterAutospacing="0" w:line="252" w:lineRule="atLeast"/>
        <w:rPr>
          <w:rFonts w:asciiTheme="minorHAnsi" w:hAnsiTheme="minorHAnsi"/>
          <w:color w:val="1F262D"/>
        </w:rPr>
      </w:pPr>
      <w:r w:rsidRPr="005F53C3">
        <w:rPr>
          <w:rFonts w:asciiTheme="minorHAnsi" w:hAnsiTheme="minorHAnsi"/>
          <w:color w:val="1F262D"/>
        </w:rPr>
        <w:t>За сам факт подачи апелляции количество баллов не может быть уменьшено.</w:t>
      </w:r>
    </w:p>
    <w:p w:rsidR="005F53C3" w:rsidRPr="00D61A06" w:rsidRDefault="005F53C3">
      <w:pPr>
        <w:rPr>
          <w:sz w:val="24"/>
          <w:szCs w:val="24"/>
        </w:rPr>
      </w:pPr>
    </w:p>
    <w:sectPr w:rsidR="005F53C3" w:rsidRPr="00D6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DF0"/>
    <w:multiLevelType w:val="hybridMultilevel"/>
    <w:tmpl w:val="AE382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93482F"/>
    <w:multiLevelType w:val="multilevel"/>
    <w:tmpl w:val="0E5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305D32"/>
    <w:multiLevelType w:val="multilevel"/>
    <w:tmpl w:val="0128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81030"/>
    <w:multiLevelType w:val="hybridMultilevel"/>
    <w:tmpl w:val="8C50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4426E"/>
    <w:multiLevelType w:val="multilevel"/>
    <w:tmpl w:val="734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06"/>
    <w:rsid w:val="00026F35"/>
    <w:rsid w:val="000579A6"/>
    <w:rsid w:val="001018C2"/>
    <w:rsid w:val="00106374"/>
    <w:rsid w:val="00140D6D"/>
    <w:rsid w:val="001A29E6"/>
    <w:rsid w:val="001F2F31"/>
    <w:rsid w:val="001F44EB"/>
    <w:rsid w:val="00205FEA"/>
    <w:rsid w:val="00234215"/>
    <w:rsid w:val="00263574"/>
    <w:rsid w:val="00265F6A"/>
    <w:rsid w:val="00297EDD"/>
    <w:rsid w:val="0033021E"/>
    <w:rsid w:val="003449CF"/>
    <w:rsid w:val="00386672"/>
    <w:rsid w:val="003B665B"/>
    <w:rsid w:val="003C1530"/>
    <w:rsid w:val="003E13D1"/>
    <w:rsid w:val="003F2EFE"/>
    <w:rsid w:val="004324ED"/>
    <w:rsid w:val="00440937"/>
    <w:rsid w:val="00467B3F"/>
    <w:rsid w:val="004C5676"/>
    <w:rsid w:val="004F7880"/>
    <w:rsid w:val="00535FE1"/>
    <w:rsid w:val="005471BF"/>
    <w:rsid w:val="00575961"/>
    <w:rsid w:val="005A5EEB"/>
    <w:rsid w:val="005F53C3"/>
    <w:rsid w:val="00657472"/>
    <w:rsid w:val="00690F09"/>
    <w:rsid w:val="006C1538"/>
    <w:rsid w:val="006C6195"/>
    <w:rsid w:val="006F1C7A"/>
    <w:rsid w:val="006F6F57"/>
    <w:rsid w:val="0074751A"/>
    <w:rsid w:val="007D4FA5"/>
    <w:rsid w:val="00804230"/>
    <w:rsid w:val="008347D2"/>
    <w:rsid w:val="00897FDE"/>
    <w:rsid w:val="008E7972"/>
    <w:rsid w:val="00954872"/>
    <w:rsid w:val="00A36122"/>
    <w:rsid w:val="00A41BBA"/>
    <w:rsid w:val="00A4538D"/>
    <w:rsid w:val="00A80BC7"/>
    <w:rsid w:val="00AC3764"/>
    <w:rsid w:val="00AE70D6"/>
    <w:rsid w:val="00B779AD"/>
    <w:rsid w:val="00C14094"/>
    <w:rsid w:val="00C37F24"/>
    <w:rsid w:val="00CE6986"/>
    <w:rsid w:val="00D320BC"/>
    <w:rsid w:val="00D32B30"/>
    <w:rsid w:val="00D61A06"/>
    <w:rsid w:val="00D82F00"/>
    <w:rsid w:val="00E946E2"/>
    <w:rsid w:val="00EB1099"/>
    <w:rsid w:val="00EB54A4"/>
    <w:rsid w:val="00EE1C19"/>
    <w:rsid w:val="00EE4BBA"/>
    <w:rsid w:val="00F23CB4"/>
    <w:rsid w:val="00F442A8"/>
    <w:rsid w:val="00F565F6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F7F3-3E03-427B-9838-EA5A4C9E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2014-05-25T20:19:00Z</dcterms:created>
  <dcterms:modified xsi:type="dcterms:W3CDTF">2014-05-25T20:27:00Z</dcterms:modified>
</cp:coreProperties>
</file>